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15 38 vom 7. Juni 2016</w:t>
      </w:r>
    </w:p>
    <w:p>
      <w:r>
        <w:t>VS Kantonsgericht, 2016-06-07, FR</w:t>
      </w:r>
    </w:p>
    <w:p>
      <w:r>
        <w:rPr>
          <w:b/>
        </w:rPr>
        <w:t xml:space="preserve">Quelle: </w:t>
      </w:r>
      <w:r>
        <w:t>https://mcp.opencaselaw.ch/entscheid/vs_gerichte_LP 15 38</w:t>
      </w:r>
    </w:p>
    <w:p>
      <w:r>
        <w:t>FR: VS_GERICHTE LP 15 38 du 7 juin 2016</w:t>
      </w:r>
    </w:p>
    <w:p>
      <w:r>
        <w:t>IT: VS_GERICHTE LP 15 38 del 7 giugno 2016</w:t>
      </w:r>
    </w:p>
    <w:p>
      <w:pPr>
        <w:pStyle w:val="Heading2"/>
      </w:pPr>
      <w:r>
        <w:t>Erwägungen</w:t>
      </w:r>
    </w:p>
    <w:p>
      <w:r>
        <w:rPr>
          <w:b/>
        </w:rPr>
        <w:t>E. 1</w:t>
      </w:r>
    </w:p>
    <w:p>
      <w:r>
        <w:t>En vertu de l’article 278 al. 3 LP, la décision du juge de district (art. 30 al. 1 let. a LALP) sur opposition au séquestre peut faire l’objet d’un recours (cf. ég. art. 319 let. a CPC et 30 al. 2 LALP) auprès du Tribunal cantonal. En l’espèce, remis à la poste le 31 octobre 2014, le recours a été formé dans le délai légal de dix jours (art. 251 let. a et 321 al. 2 CPC) courant dès la réception, par le mandataire du recourant, le 21 octobre 2014, de la décision attaquée. Le magistrat soussigné est au surplus compétent pour statuer en qualité de juge unique (art. 30 al. 2 LALP et 20 al. 3 LOJ).</w:t>
      </w:r>
    </w:p>
    <w:p>
      <w:r>
        <w:rPr>
          <w:b/>
        </w:rPr>
        <w:t>E. 2</w:t>
      </w:r>
    </w:p>
    <w:p>
      <w:r>
        <w:t>L’article 278 al. 3 2ème phr. LP (qui constitue une lex specialis par rapport à l’art. 326 al. 1 CPC) permet aux parties d’alléguer des faits nouveaux et de présenter de nouvelles preuves (ATF 140 III 466 consid. 4.2.3). Il s’agit en tout cas des faits nouveaux "proprement dits" (vrais nova), soit ceux intervenus après la décision de première instance (cf. arrêts 5A_364/2008 du 12 août 2008 consid. 4.1.2, 5A_739/2012 du 17 mai 2013 consid. 9.2.3 et 5A_328/2013 du 4 novembre 2013 consid. 4.3.2). L’allégation de faits nouveaux "improprement dits" (pseudo nova) en instance de recours n’est en revanche possible que si le recourant a été empêché, sans sa faute, de les invoquer en première instance (GASSER, Das Abwehrdispositiv der Arrestbetroffenen nach revidiertem SchKG, in RJB 1994, p. 616; CHAIX, Jurisprudences genevoises en matière de séquestre, in SJ 2005 II, p. 362). En l’occurrence, l’intimée au recours a produit, à l’appui de sa réponse du 28 novembre 2014, un procès-verbal de séquestre établi par l’office des poursuites de H_________ le 4 août 2014. Au vu de son contenu, cette pièce aurait pu être déposée lors de l’audience du 30 septembre 2014, l’intéressée n'indiquant pas qu'elle aurait été empêchée, de manière non fautive, de la verser en cause en première instance. Cette nouvelle pièce est donc irrecevable.</w:t>
      </w:r>
    </w:p>
    <w:p>
      <w:r>
        <w:rPr>
          <w:b/>
        </w:rPr>
        <w:t>E. 3</w:t>
      </w:r>
    </w:p>
    <w:p>
      <w:r>
        <w:t>Aux termes de l’article 320 CPC, le recours est recevable pour violation du droit (let. a) et constatation manifestement inexacte des faits (let. b).</w:t>
      </w:r>
    </w:p>
    <w:p>
      <w:r>
        <w:rPr>
          <w:b/>
        </w:rPr>
        <w:t>E. 3.1</w:t>
      </w:r>
    </w:p>
    <w:p>
      <w:r>
        <w:t>L’autorité de recours examine avec plein pouvoir les griefs pris de la mauvaise application du droit - fédéral, cantonal ou étranger - par le juge de première instance</w:t>
      </w:r>
    </w:p>
    <w:p>
      <w:r>
        <w:t>- 8 - (FREIBURGHAUS/AFHELDT, Kommentar zur Schweizerischen Zivilprozessordnung, 2013, n. 3 ad art. 320 CPC). Son examen se limite toutefois aux seuls moyens invoqués (HOHL, Procédure civile, T. II, 2ème éd., 2010, nos 2514 et 3024). Il incombe donc au recourant, à peine d’irrecevabilité, de discuter les motifs de la décision entreprise et d’indiquer précisément en quoi il estime que l’autorité précédente a méconnu le droit (ATF 133 II 249 consid. 1.4.2; 133 IV 286 consid. 1.4; HOHL, op. cit., nos 2514 et 3024).</w:t>
      </w:r>
    </w:p>
    <w:p>
      <w:r>
        <w:rPr>
          <w:b/>
        </w:rPr>
        <w:t>E. 3.2</w:t>
      </w:r>
    </w:p>
    <w:p>
      <w:r>
        <w:t>L’autorité de recours ne censure en revanche la constatation des faits que si ceux- ci ont été établis de manière arbitraire (art. 9 Cst. féd.; FREIBURGHAUS/AFHELDT, n. 5 ad art. 320 CPC). Une décision viole l’article 9 Cst. féd. uniquement si le juge n’a manifestement pas compris le sens et la portée d’un moyen de preuve, a omis, sans motifs objectifs, de tenir compte de preuves pertinentes ou a opéré, sur la base des éléments recueillis, des déductions insoutenables (ATF 136 III 552 consid. 4.2; 134 V 53 consid. 4.3; 133 II 249 consid. 1.4.3). L’arbitraire ne résulte pas du seul fait qu’une autre solution pourrait entrer en considération ou même qu’elle serait préférable. L’autorité de recours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131 I 57). Pour qu’une décision soit annulée pour cause d’arbitraire, il ne suffit pas que la motivation formulée soit insoutenable, il faut encore que la décision apparaisse arbitraire dans son résultat (ATF 137 I consid. 2.4; 136 III 552 consid. 4.2). Le recourant qui se plaint d’arbitraire n'est pas admis à contester la décision attaquée comme il le ferait dans une procédure d'appel où l'autorité supérieure jouit d'un plein pouvoir d'examen. 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 Il lui appartient d’expliquer précisément, pour chaque constatation de fait incriminée, comment les preuves administrées auraient dû, selon lui, être correctement appréciées et en quoi leur appréciation par l'autorité cantonale est insoutenable (ATF 129 I 113 consid. 2.1). Il doit rendre vraisemblable que la décision aurait été différente si les faits avaient été établis de manière conforme au droit (ATF 134 V 53 consid. 3.4).</w:t>
      </w:r>
    </w:p>
    <w:p>
      <w:r>
        <w:t>- 9 -</w:t>
      </w:r>
    </w:p>
    <w:p>
      <w:r>
        <w:rPr>
          <w:b/>
        </w:rPr>
        <w:t>E. 3.3</w:t>
      </w:r>
    </w:p>
    <w:p>
      <w:r>
        <w:t>En matière de séquestre, le juge établi les faits nécessaires à son prononcé sur la base de leur simple vraisemblance. Il suffit dès lors que, à partir d’éléments objectifs, il acquière l’impression que les faits pertinents se sont produits, sans qu’il doive exclure pour autant la possibilité qu’ils se soient déroulés autrement. S’agissant de l’application du droit, le juge procède à un examen sommaire du bien-fondé juridique de la créance, c’est-à-dire à un examen qui n’est ni définitif, ni complet, au terme duquel il rend une décision provisoire (ATF 138 III 232 consid. 4.1.1). La juridiction saisie d'un recours contre la décision sur opposition à l’ordonnance de séquestre (art. 278 al. 3 LP) ne jouit pas d'un pouvoir d'examen plus étendu que celui du juge de l'opposition (arrêt 5A_925/2012 du 5 avril 2013 consid. 9.3). Elle examine également au degré de la simple vraisemblance si les conditions du séquestre sont réalisées (arrêt 5A_654/2010 du 24 novembre 2011 consid. 7.2 et les réf.). Le point de savoir si le degré de vraisemblance requis par le droit fédéral est atteint dans le cas particulier ressortit à l’appréciation des preuves (ATF 138 III 232 consid. 4.1.1). L’autorité cantonale n’intervient dès lors que si le juge de première instance a retenu de manière arbitraire la simple vraisemblance des faits (art. 320 let. b CPC; arrêt 5A_582/2012 du 11 février 2013 consid. 3.1).</w:t>
      </w:r>
    </w:p>
    <w:p>
      <w:r>
        <w:rPr>
          <w:b/>
        </w:rPr>
        <w:t>E. 4</w:t>
      </w:r>
    </w:p>
    <w:p>
      <w:r>
        <w:t>Pour que le séquestre soit ordonné, le créancier doit rendre vraisemblable que sa créance existe, qu'on est en présence d'un cas de séquestre et qu'il existe des biens propriété du débiteur (art. 272 LP). La recourante conteste que ces conditions cumulatives soient réalisées en l’espèce. Elle prétend, en particulier, que le bien séquestré lui appartient et que rien au dossier ne permet de retenir la thèse de l’identité économique entre elle et B_________, seul débiteur de la créance en poursuite. A cet égard, elle relève que la mise en vente de sa propriété est une activité économique des plus habituelles pour une société qui a pour but notamment la gestion de patrimoine. En tout état de cause, elle estime que la condition de l’abus de droit n’est pas réalisée puisque l’acquisition de la parcelle séquestrée est intervenue avant le prononcé du divorce des époux Y_________ et B_________ et que l'épouse a toujours connu de son existence. Ce faisant, elle se contente de reprendre les arguments exposés en première instance, sans remettre en cause l’appréciation des pièces faite par le premier juge et les arguments sur lesquels il s’est fondé pour considérer que l’immeuble séquestré appartenait en réalité au débiteur. Une telle critique ne satisfait pas aux exigences de motivation accrues en matière de recours lorsqu’est en jeu, comme en l’espèce, l’arbitraire dans l’appréciation des preuves. Elle est, partant, irrecevable.</w:t>
      </w:r>
    </w:p>
    <w:p>
      <w:r>
        <w:t>- 10 - Au demeurant, même recevable, elle aurait dû être rejetée.</w:t>
      </w:r>
    </w:p>
    <w:p>
      <w:r>
        <w:rPr>
          <w:b/>
        </w:rPr>
        <w:t>E. 4.1</w:t>
      </w:r>
    </w:p>
    <w:p>
      <w:r>
        <w:t>Le séquestre ne peut être ordonné que si les biens à séquestrer appartiennent effectivement au débiteur (art. 272 al.1 ch. 3 LP), puisque celui-ci ne répond en principe de ses obligations que sur les biens qui lui appartiennent (ATF 105 III 107 consid. 3; arrêt 5A_144/2008 du 11 avril 2008 consid. 3.3). Toutefois, le créancier peut faire séquestrer des biens au nom ou en possession d'un tiers, s'il rend vraisemblable que ces biens appartiennent en réalité au débiteur (arrêt 5A_144/2008 loc. cit.; cf. Message du 8 mai 1991 précité; pour l'ancien droit: ATF 107 III 33 consid. 2). Cette exigence est destinée à empêcher les séquestres génériques ou investigatoires (arrêt 5A_925/2012 précité consid. 9.2). Sont des biens du débiteur uniquement les choses et droits qui, selon les allégations que le créancier rend vraisemblables dans sa requête, appartiennent juridiquement - et pas seulement économiquement - à celui-là (arrêt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5A_873/2010 du 3 mai 2011 consid. 4.2.2; 5A_654/2010 du 24 novembre 2011 consid. 7.3.1). Ce n'est que dans des circonstances exceptionnelles qu'un tiers peut être tenu des engagements d'un débiteur avec lequel il forme une identité économique (arrêt 5A_925/2012 du 5 avril 2012 consid. 9.1 et les réf.). Ainsi, les biens qui sont formellement au nom d'un tiers (homme de paille), mais qui appartiennent en réalité au débiteur (par ex., ensuite d'une acquisition de propriété simulée), peuvent être séquestrés (ATF 126 III 95 consid. 4a; arrêt 5A_629/2011 du 26 avril 2012 consid. 5.1). Il en va de même lorsque le débiteur a transféré de manière abusive ses biens à une société qu'il contrôle et avec laquelle il forme une identité économique (ATF 126 III 95 consid. 4a; 105 III 107 consid. 3a; 102 III 165). En effet, selon le principe de la transparence ("Durchgriff"), on ne peut pas s'en tenir sans réserve à l'existence formelle de deux personnes juridiquement distinctes lorsque tout l'actif ou la quasi- 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w:t>
      </w:r>
    </w:p>
    <w:p>
      <w:r>
        <w:t>- 11 - chaque fois que le fait d'invoquer la diversité des sujets constitue un abus de droit ou a pour effet une atteinte manifeste à des intérêts légitimes (art. 2 al. 2 CC; sur le principe de la transparence en général, cf. ATF 132 III 489 consid. 3.2; arrêts 4A_384/2008 du</w:t>
      </w:r>
    </w:p>
    <w:p>
      <w:r>
        <w:rPr>
          <w:b/>
        </w:rPr>
        <w:t>E. 4.2</w:t>
      </w:r>
    </w:p>
    <w:p>
      <w:r>
        <w:t>En l’espèce, l’immeuble séquestré est inscrit au registre foncier au nom de la recourante. Il appartient donc juridiquement à cette dernière. Divers éléments au dossier indiquent toutefois que B_________ en est le véritable ayant droit économique. C’est ainsi lui qui a remis en nantissement auprès de la Banque P_________ une assurance-vie prime unique de 300'000 fr. en garantie des créances de l’établissement bancaire envers la recourante. C’est son fils qui occupait le chalet au moment où le séquestre a été prononcé. Ces indices que le bien séquestré, formellement au nom de la recourante, appartient en réalité à B_________ sont clairement corroborés par l’attestation établie le 24 novembre 2009 par la Fiduciaire J_________ SA, dont</w:t>
      </w:r>
    </w:p>
    <w:p>
      <w:r>
        <w:t>- 12 - l’administrateur directeur, I_________, n’est autre que l’administrateur unique de la recourante. Cette dernière a confirmé que la fortune personnelle de B_________ incluait un chalet de 1 300 000 fr. à A_________. Compte tenu de la position particulière de son directeur, cette fiduciaire était on ne peut mieux placée pour savoir à qui appartenait réellement ce chalet. Elle n’aurait évidemment pas établi pareille attestation s’il n’y avait pas identité de personne entre la recourante et B_________. L’intéressée ne conteste d’ailleurs pas véritablement l’identité économique entre elle et le débiteur. Elle n’a ainsi jamais allégué et, partant, démontré qu’elle déployait une activité réelle entrant dans la réalisation de son but social autre que la simple détention du chalet incriminé pour le compte de B_________. Il lui aurait été pourtant loisible de le faire si elle n’était pas qu’un simple instrument dans les mains de celui-ci. On peut donc considérer que la créancière, intimée au présent recours, a rendu vraisemblable que l’immeuble séquestré inscrit au registre foncier au nom de la recourante appartient en réalité à B_________. La première condition pour la levée inversée du voile corporatif, à savoir la prise en compte de la société recourante pour des créances relatives au débiteur en poursuite, est réalisée. Reste à déterminer s’il y a abus de droit à invoquer la dualité des sujets. La recourante conteste que tel soit le cas puisque, selon elle, l’intimée avait connaissance de longue date, bien avant la procédure de divorce, de ce que la propriété du chalet de A_________ lui revenait et qu’elle s’était accommodée de cette situation. Cet argument ne résiste pas à l’examen, car, à supposer que l’intéressée ai été au courant du montage juridique de son conjoint autour du chalet de A_________, elle n’en était pas moins informée que le véritable ayant droit de cet immeuble était B_________, lequel annonçait une fortune de 20 000 000 fr. en procédure de divorce. Il est ainsi faux de prétendre, comme le fait la recourante, que les attentes légitimes de l’intéressée ne sauraient être déçues par le comportement consistant à revendiquer l’indépendance économique entre elle et B_________. Au demeurant, la diversité des sujets de droit n’est invoquée que pour permettre à celui-ci de se soustraire au séquestre ordonné afin de garantir le paiement des contributions d’entretien. Dans le cadre d’un examen fondé sur la vraisemblance, on peut retenir qu’il y a abus de droit à se prévaloir de l’existence formelle de deux personnes juridiquement distinctes pour s’opposer au séquestre et ainsi permettre à B_________ d’en tirer un avantage injustifié en se soustrayant à la procédure d’exécution forcée. Il s'ensuit que les deux conditions exigées par la jurisprudence pour appliquer le principe de la transparence en matière d'exécution forcée ont été rendues</w:t>
      </w:r>
    </w:p>
    <w:p>
      <w:r>
        <w:t>- 13 - vraisemblables et que la condition du séquestre est, partant, réalisée. L’interprétation défendue par l'autorité de première instance n’étant pas manifestement insoutenable, le recours n’aurait pu qu’être rejeté sur ce point. 5. Pour le cas où le séquestre serait confirmé, la recourant estime qu’il y a lieu d’atreindre l’intimée à fournir des sûretés en vertu de l’article 273 al. 1 2ème phr. LP. 5.1 Le juge peut exiger que le créancier fournisse des sûretés, dans le cadre de l'ordonnance de séquestre ou à un stade ultérieur (STOFFEL, Commentaire bâlois, Bundesgesetz über Schuldbetreibung und Konkurs, 2ème éd., 2012, n. 18, 24 et 30 ad art. 273 LP; STOFFEL/CHABLOZ, Commentaire romand, Poursuite et faillite, 2005, n. 18 ad art. 273 LP; REISER, Commentaire bâlois, n. 17 ad art. 278 LP). L’autorité apprécie librement s’il y a lieu d’imposer des sûretés ou de les augmenter, sous la seule réserve de l’interdiction de l’arbitraire (JdT 1990 II 22-23 consid. 4 non publié aux ATF 113 III 96 ss; GILLIÉRON, Commentaire de la loi fédérale sur la poursuite pour dettes et la faillite, 2003, n. 27 ad art. 273 LP). Le créancier peut être obligé, même d'office, à fournir des sûretés lorsque la créance ou le cas de séquestre sont douteux (ATF 112 III 112 consid. 2a). Il n’y a normalement pas lieu d’imposer la prestation de sûretés lorsque le créancier peut se fonder sur un jugement exécutoire (STOFFEL, n. 21 ad art. 273 LP). En vertu de l'article 273 al. 1 LP, le créancier répond du dommage qu'un séquestre injustifié peut causer tant au débiteur qu'aux tiers. Le dommage doit être certain, déjà réalisé ou devant se réaliser à coup sûr; il ne suffit pas qu’il soit vraisemblable (GILLIÉRON, n. 14 ad art. 273 LP). Le séquestrant ne répond que d'une perte effective. Le montant des sûretés est fixé en fonction du dommage possible; celui-ci dépend notamment de l’importance que revêtent les biens séquestrés pour le débiteur. Les intérêts du créancier doivent également être pris en compte dans l’évaluation générale, au même titre que ceux du débiteur (STOFFEL/CHABLOZ, n. 22 ss ad art. 273 LP; STOFFEL, n. 20 ss ad art. 273 LP). Il incombe au requérant d'établir les éléments du dommage auquel l'expose l'indisponibilité de ses avoirs (arrêt 5A_757/2010 du 20 avril 2011 consid. 3.2.2 et les réf.). 5.2 En l’occurrence, la recourante se plaint de ce que le séquestre ordonné est propre à lui causer un dommage important et probablement irréparable, raison pour laquelle elle exige que des sûretés soient ordonnées. Elle invoque, à ce titre, l’interruption des efforts de vente en pleine saison estivale, la rareté des acquéreurs à la suite de l’acceptation en 2012 de l’initiative sur les résidences secondaires ainsi que la baisse</w:t>
      </w:r>
    </w:p>
    <w:p>
      <w:r>
        <w:t>- 14 - du marché immobilier. Mais elle ne fournit aucune précision sur l’étendue de cet éventuel dommage. Or, le séquestre, s’il empêche bien l’aliénation du bien qui en est l’objet, ne prive pas le propriétaire de la possibilité d’en user librement. Pour le surplus, il sied de reconnaître, avec le premier juge, que ni le cas de séquestre, qui se fonde sur l’identité économique entre la recourante et le débiteur concerné, ni la créance, qui se fonde sur un jugement exécutoire, ne sont douteux, en sorte que rien ne justifie d’astreindre l’intimée à fournir des sûretés. A cela s’ajoute le fait que l’intérêt des parties en cause commande également cette solution, dès lors que la créance en poursuite est une créance d’aliments de deux enfants mineurs envers un père qui semblait disposer, il y a peu encore, d’une fortune considérable. La solution retenue en première instance ne viole donc pas l’interdiction de l’arbitraire. Le grief fondé sur une mauvaise application de l’article 273 LP doit également être rejeté. 6. Les frais sont mis à la charge de la recourante, qui a qualité de partie succombante (cf. art. 106 al. 1 CPC). Compte tenu du montant sur lequel porte le séquestre, du degré usuel de difficulté de la cause et des principes de la couverture des frais et de l’équivalence des prestations (art. 13 LTar), les frais judiciaires de la procédure de recours, qui se limitent à l’émolument forfaitaire de décision (art. 95 al. 2 let. b CPC), sont fixés à 750 fr. (art. 48 et 61 al. 1 OELP). Au vu de l’activité utilement exercée par le conseil de l’intimée, qui a consisté en la rédaction d’une détermination du 28 novembre 2014 et d’observations du 24 novembre 2015, la recourante lui versera une indemnité de 2500 fr. à titre de dépens (honoraires et débours compris; art. 95 al. 3 let. a-b CPC; art. 4 al. 1, 27 al. 1 et 35 LTar). Par ces motifs,</w:t>
      </w:r>
    </w:p>
    <w:p>
      <w:r>
        <w:t>Décide</w:t>
      </w:r>
    </w:p>
    <w:p>
      <w:r>
        <w:t>1. Le recours est rejeté, dans la mesure où il est recevable. 2. Les frais, par 750 fr., sont mis à la charge de la société X_________ SA. 3. La société X_________ SA versera une indemnité de 2500 fr. à Y_________ à titre de dépens. Sion, le 8 février 2016</w:t>
      </w:r>
    </w:p>
    <w:p>
      <w:r>
        <w:rPr>
          <w:b/>
        </w:rPr>
        <w:t>E. 9</w:t>
      </w:r>
    </w:p>
    <w:p>
      <w:r>
        <w:t>décembre 2008 consid. 4.1, 5A_436/2011 du 12 avril 2012 consid. 9.3.2 et 5A_175/2010 du 25 mai 2010 consid. 3.3.4). L’application du principe de la transparence suppose donc, tout d’abord, qu'il y ait identité de personnes, conformément à la réalité économique ou, en tout cas, la domination économique d'un sujet de droit sur l'autre. Il faut ensuite que la dualité soit invoquée de manière abusive, c'est-à-dire pour en tirer un avantage injustifié (arrêt 1B_274/2012 du 11 juillet 2012 consid. 2.2 et les réf.). Tel est notamment le cas si l'identité économique absolue entre le débiteur et le tiers n'est ni contestable, ni sérieusement contestée, et que la dualité des sujets n'est invoquée qu'aux fins de se soustraire abusivement à l'exécution forcée (ATF 105 III 107 consid. 3a et les réf.). La transparence peut aller soit dans le sens d’une prise en compte de l’actionnaire unique en plus de la société (levée directe du voile corporatif), soit dans le sens d’une prise en compte de la société en plus de l’actionnaire unique (levée inversée du voile corporatif) (RUEDIN, Droit des sociétés, 2e éd., 2007, n. 748 p. 142 et 143). Il appartient au créancier, dans sa requête de séquestre, de rendre vraisemblable, que les biens formellement au nom de tiers appartiennent en réalité au débiteur. De simples allégations ne suffisent pas. L'intéressé doit indiquer le nom du tiers et ne peut pas se contenter de demander le séquestre de tous les biens du débiteur en ajoutant, de façon générique, qu'ils soient à son nom ou à ceux de tiers (ATF 126 III 95 consid. 4a). Il doit rendre vraisemblable que, malgré notamment la possession, l'inscription dans un registre public ou l'intitulé du compte bancaire, les biens à mettre sous main de justice appartiennent au débiteur (ATF 107 III 33 consid. 2; 126 III 95 consid. 4a et les réf.; arrêt 5A_873/2010 du 3 mai 2011 consid.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